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2903"/>
        <w:gridCol w:w="2985"/>
        <w:gridCol w:w="1489"/>
      </w:tblGrid>
      <w:tr w:rsidR="00EB2E8A" w:rsidRPr="00EB2E8A" w:rsidTr="00EB2E8A"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EB2E8A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Nº de la Unidad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EB2E8A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OA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EB2E8A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EB2E8A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Horas Pedagógicas</w:t>
            </w:r>
          </w:p>
        </w:tc>
      </w:tr>
      <w:tr w:rsidR="00EB2E8A" w:rsidRPr="00EB2E8A" w:rsidTr="00EB2E8A">
        <w:tc>
          <w:tcPr>
            <w:tcW w:w="1253" w:type="dxa"/>
            <w:tcBorders>
              <w:top w:val="single" w:sz="18" w:space="0" w:color="auto"/>
            </w:tcBorders>
          </w:tcPr>
          <w:p w:rsidR="001D4B49" w:rsidRPr="00EB2E8A" w:rsidRDefault="00652A21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Unidad 1: ¿Hasta dónde llegaremos?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652A21" w:rsidRPr="00EB2E8A" w:rsidRDefault="00652A21" w:rsidP="00652A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Explicar, basados en investigaciones y modelos, cómo los avances tecnológicos (en robótica, telecomunicaciones, astronomía, física cuántica, entre otros) han permitido al ser humano ampliar sus capacidades sensoriales y su comprensión de fenómenos relacionados con la materia, los seres vivos y el entorno.</w:t>
            </w:r>
          </w:p>
          <w:p w:rsidR="001D4B49" w:rsidRPr="00EB2E8A" w:rsidRDefault="001D4B49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18" w:space="0" w:color="auto"/>
            </w:tcBorders>
          </w:tcPr>
          <w:p w:rsidR="001D4B49" w:rsidRPr="00EB2E8A" w:rsidRDefault="00EB2E8A" w:rsidP="00652A2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69" w:hanging="169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Microscopía</w:t>
            </w:r>
          </w:p>
          <w:p w:rsidR="00EB2E8A" w:rsidRPr="00EB2E8A" w:rsidRDefault="00EB2E8A" w:rsidP="00652A2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69" w:hanging="169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Posibilidades de aprendizaje que ofrece la tecnología</w:t>
            </w:r>
          </w:p>
          <w:p w:rsidR="00EB2E8A" w:rsidRPr="00EB2E8A" w:rsidRDefault="00EB2E8A" w:rsidP="00652A2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69" w:hanging="169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Física cuántica</w:t>
            </w:r>
          </w:p>
          <w:p w:rsidR="00EB2E8A" w:rsidRPr="00EB2E8A" w:rsidRDefault="00EB2E8A" w:rsidP="00652A21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69" w:hanging="169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Observación astronómica</w:t>
            </w:r>
          </w:p>
        </w:tc>
        <w:tc>
          <w:tcPr>
            <w:tcW w:w="1489" w:type="dxa"/>
            <w:tcBorders>
              <w:top w:val="single" w:sz="18" w:space="0" w:color="auto"/>
            </w:tcBorders>
          </w:tcPr>
          <w:p w:rsidR="001D4B49" w:rsidRPr="00EB2E8A" w:rsidRDefault="00EB2E8A" w:rsidP="00EB2E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B2E8A" w:rsidRPr="00EB2E8A" w:rsidTr="00EB2E8A">
        <w:trPr>
          <w:trHeight w:val="2331"/>
        </w:trPr>
        <w:tc>
          <w:tcPr>
            <w:tcW w:w="1253" w:type="dxa"/>
          </w:tcPr>
          <w:p w:rsidR="001D4B49" w:rsidRPr="00EB2E8A" w:rsidRDefault="00652A21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Unidad 1: ¿Hasta dónde llegaremos?</w:t>
            </w:r>
          </w:p>
        </w:tc>
        <w:tc>
          <w:tcPr>
            <w:tcW w:w="2977" w:type="dxa"/>
          </w:tcPr>
          <w:p w:rsidR="00652A21" w:rsidRPr="00EB2E8A" w:rsidRDefault="00652A21" w:rsidP="00652A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Evaluar alcances y limitaciones de la tecnología y sus aplicaciones, argumentando riesgos y beneficios desde una perspectiva de salud, ética, social, económica y ambiental.</w:t>
            </w:r>
          </w:p>
          <w:p w:rsidR="001D4B49" w:rsidRPr="00EB2E8A" w:rsidRDefault="001D4B49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</w:tcPr>
          <w:p w:rsidR="001D4B49" w:rsidRPr="00EB2E8A" w:rsidRDefault="00EB2E8A" w:rsidP="00EB2E8A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69" w:hanging="169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Efectos de las ondas electromagnéticas sobre el medio ambiente</w:t>
            </w:r>
          </w:p>
          <w:p w:rsidR="00EB2E8A" w:rsidRPr="00EB2E8A" w:rsidRDefault="00EB2E8A" w:rsidP="00EB2E8A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69" w:hanging="169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Relación entre Tecnología, Economía y Medio ambiente</w:t>
            </w:r>
          </w:p>
        </w:tc>
        <w:tc>
          <w:tcPr>
            <w:tcW w:w="1489" w:type="dxa"/>
          </w:tcPr>
          <w:p w:rsidR="001D4B49" w:rsidRPr="00EB2E8A" w:rsidRDefault="00EB2E8A" w:rsidP="00EB2E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B2E8A" w:rsidRPr="00EB2E8A" w:rsidTr="00EB2E8A">
        <w:tc>
          <w:tcPr>
            <w:tcW w:w="1253" w:type="dxa"/>
          </w:tcPr>
          <w:p w:rsidR="00652A21" w:rsidRPr="00EB2E8A" w:rsidRDefault="00652A21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Unidad 2: ¿Cómo mejora nuestras vidas?</w:t>
            </w:r>
          </w:p>
        </w:tc>
        <w:tc>
          <w:tcPr>
            <w:tcW w:w="2977" w:type="dxa"/>
          </w:tcPr>
          <w:p w:rsidR="00652A21" w:rsidRPr="00EB2E8A" w:rsidRDefault="00652A21" w:rsidP="00652A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E8A">
              <w:rPr>
                <w:rFonts w:ascii="Arial" w:hAnsi="Arial" w:cs="Arial"/>
                <w:sz w:val="22"/>
                <w:szCs w:val="22"/>
              </w:rPr>
              <w:t>Diseñar proyectos tecnológicos que permitan resolver problemas personales y/o locales de diversos ámbitos de la vida (como vivienda y transporte, entre otros).</w:t>
            </w:r>
          </w:p>
          <w:p w:rsidR="00652A21" w:rsidRPr="00EB2E8A" w:rsidRDefault="00652A21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</w:tcPr>
          <w:p w:rsidR="00652A21" w:rsidRPr="00EB2E8A" w:rsidRDefault="00652A21" w:rsidP="00EB2E8A">
            <w:pPr>
              <w:pStyle w:val="Prrafodelista"/>
              <w:numPr>
                <w:ilvl w:val="0"/>
                <w:numId w:val="1"/>
              </w:numPr>
              <w:ind w:left="123" w:hanging="123"/>
              <w:jc w:val="both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Soluciones de generación de energías (energías renovables)</w:t>
            </w:r>
          </w:p>
          <w:p w:rsidR="00652A21" w:rsidRPr="00EB2E8A" w:rsidRDefault="00652A21" w:rsidP="00EB2E8A">
            <w:pPr>
              <w:pStyle w:val="Prrafodelista"/>
              <w:numPr>
                <w:ilvl w:val="0"/>
                <w:numId w:val="1"/>
              </w:numPr>
              <w:ind w:left="123" w:hanging="123"/>
              <w:jc w:val="both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Diseño sostenible de viviendas</w:t>
            </w:r>
          </w:p>
          <w:p w:rsidR="00652A21" w:rsidRPr="00EB2E8A" w:rsidRDefault="00652A21" w:rsidP="00EB2E8A">
            <w:pPr>
              <w:pStyle w:val="Prrafodelista"/>
              <w:numPr>
                <w:ilvl w:val="0"/>
                <w:numId w:val="1"/>
              </w:numPr>
              <w:ind w:left="123" w:hanging="123"/>
              <w:jc w:val="both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Desarrollo urbano sostenible</w:t>
            </w:r>
          </w:p>
          <w:p w:rsidR="00652A21" w:rsidRPr="00EB2E8A" w:rsidRDefault="00652A21" w:rsidP="00EB2E8A">
            <w:pPr>
              <w:pStyle w:val="Prrafodelista"/>
              <w:numPr>
                <w:ilvl w:val="0"/>
                <w:numId w:val="1"/>
              </w:numPr>
              <w:ind w:left="123" w:hanging="123"/>
              <w:jc w:val="both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Mitigación al cambio climático</w:t>
            </w:r>
          </w:p>
          <w:p w:rsidR="00652A21" w:rsidRPr="00EB2E8A" w:rsidRDefault="00652A21" w:rsidP="00EB2E8A">
            <w:pPr>
              <w:pStyle w:val="Prrafodelista"/>
              <w:numPr>
                <w:ilvl w:val="0"/>
                <w:numId w:val="1"/>
              </w:numPr>
              <w:ind w:left="123" w:hanging="123"/>
              <w:jc w:val="both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Sistema potabilizador de agua</w:t>
            </w:r>
          </w:p>
          <w:p w:rsidR="00652A21" w:rsidRPr="00EB2E8A" w:rsidRDefault="00652A21" w:rsidP="00EB2E8A">
            <w:pPr>
              <w:pStyle w:val="Prrafodelista"/>
              <w:numPr>
                <w:ilvl w:val="0"/>
                <w:numId w:val="1"/>
              </w:numPr>
              <w:ind w:left="123" w:hanging="123"/>
              <w:jc w:val="both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Soluciones tecnológicas para generación de energía en situaciones de emergencia</w:t>
            </w:r>
          </w:p>
          <w:p w:rsidR="00652A21" w:rsidRPr="00EB2E8A" w:rsidRDefault="00652A21" w:rsidP="00EB2E8A">
            <w:pPr>
              <w:pStyle w:val="Prrafodelista"/>
              <w:numPr>
                <w:ilvl w:val="0"/>
                <w:numId w:val="1"/>
              </w:numPr>
              <w:ind w:left="123" w:hanging="123"/>
              <w:jc w:val="both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Medio de transporte y sustentabilidad</w:t>
            </w:r>
          </w:p>
          <w:p w:rsidR="00652A21" w:rsidRPr="00EB2E8A" w:rsidRDefault="00652A21" w:rsidP="00EB2E8A">
            <w:pPr>
              <w:pStyle w:val="Prrafodelista"/>
              <w:numPr>
                <w:ilvl w:val="0"/>
                <w:numId w:val="1"/>
              </w:numPr>
              <w:ind w:left="123" w:hanging="123"/>
              <w:jc w:val="both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lastRenderedPageBreak/>
              <w:t>Optimización de recursos y eficiencia energética</w:t>
            </w:r>
          </w:p>
          <w:p w:rsidR="00652A21" w:rsidRPr="00EB2E8A" w:rsidRDefault="00652A21" w:rsidP="00EB2E8A">
            <w:pPr>
              <w:pStyle w:val="Prrafodelista"/>
              <w:numPr>
                <w:ilvl w:val="0"/>
                <w:numId w:val="1"/>
              </w:numPr>
              <w:ind w:left="123" w:hanging="123"/>
              <w:jc w:val="both"/>
              <w:rPr>
                <w:rFonts w:ascii="Arial" w:hAnsi="Arial" w:cs="Arial"/>
              </w:rPr>
            </w:pPr>
            <w:r w:rsidRPr="00EB2E8A">
              <w:rPr>
                <w:rFonts w:ascii="Arial" w:hAnsi="Arial" w:cs="Arial"/>
              </w:rPr>
              <w:t>Alimentación sostenible y cultivos sustentables</w:t>
            </w:r>
          </w:p>
          <w:p w:rsidR="00652A21" w:rsidRPr="00EB2E8A" w:rsidRDefault="00652A21" w:rsidP="004760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</w:tcPr>
          <w:p w:rsidR="00652A21" w:rsidRPr="00EB2E8A" w:rsidRDefault="00EB2E8A" w:rsidP="00EB2E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</w:tr>
    </w:tbl>
    <w:p w:rsidR="004C4B1C" w:rsidRDefault="004C4B1C">
      <w:bookmarkStart w:id="0" w:name="_GoBack"/>
      <w:bookmarkEnd w:id="0"/>
    </w:p>
    <w:sectPr w:rsidR="004C4B1C" w:rsidSect="00B8333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5D" w:rsidRDefault="00FF285D" w:rsidP="001D4B49">
      <w:r>
        <w:separator/>
      </w:r>
    </w:p>
  </w:endnote>
  <w:endnote w:type="continuationSeparator" w:id="0">
    <w:p w:rsidR="00FF285D" w:rsidRDefault="00FF285D" w:rsidP="001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5D" w:rsidRDefault="00FF285D" w:rsidP="001D4B49">
      <w:r>
        <w:separator/>
      </w:r>
    </w:p>
  </w:footnote>
  <w:footnote w:type="continuationSeparator" w:id="0">
    <w:p w:rsidR="00FF285D" w:rsidRDefault="00FF285D" w:rsidP="001D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827"/>
      <w:gridCol w:w="2530"/>
    </w:tblGrid>
    <w:tr w:rsidR="001D4B49" w:rsidTr="0047607E">
      <w:trPr>
        <w:cantSplit/>
        <w:trHeight w:val="274"/>
      </w:trPr>
      <w:tc>
        <w:tcPr>
          <w:tcW w:w="2622" w:type="dxa"/>
          <w:vMerge w:val="restart"/>
        </w:tcPr>
        <w:p w:rsidR="001D4B49" w:rsidRDefault="001D4B49" w:rsidP="001D4B49">
          <w:pPr>
            <w:jc w:val="center"/>
          </w:pPr>
        </w:p>
        <w:p w:rsidR="001D4B49" w:rsidRDefault="001D4B49" w:rsidP="001D4B49">
          <w:pPr>
            <w:rPr>
              <w:rFonts w:ascii="Times New Roman" w:hAnsi="Times New Roman"/>
              <w:lang w:val="es-CL" w:eastAsia="es-ES_tradnl"/>
            </w:rPr>
          </w:pPr>
          <w:r>
            <w:fldChar w:fldCharType="begin"/>
          </w:r>
          <w:r w:rsidR="00254A51">
            <w:instrText xml:space="preserve"> INCLUDEPICTURE "C:\\var\\folders\\sv\\fxpkz02d6wd_c71ctpygxlj00000gn\\T\\com.microsoft.Word\\WebArchiveCopyPasteTempFiles\\membrete.fw_.png" \* MERGEFORMAT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66F70788" wp14:editId="2DE8EBDC">
                <wp:extent cx="1514475" cy="448310"/>
                <wp:effectExtent l="0" t="0" r="0" b="0"/>
                <wp:docPr id="1" name="Imagen 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:rsidR="001D4B49" w:rsidRPr="00D715D0" w:rsidRDefault="001D4B49" w:rsidP="001D4B49">
          <w:pPr>
            <w:jc w:val="center"/>
            <w:rPr>
              <w:rFonts w:ascii="Times New Roman" w:hAnsi="Times New Roman"/>
              <w:lang w:val="es-CL" w:eastAsia="es-ES_tradnl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1D4B49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  <w:p w:rsidR="00C0506A" w:rsidRDefault="001D4B49" w:rsidP="00C0506A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DEPARTAMENTO DE </w:t>
          </w:r>
          <w:r w:rsidR="00652A21">
            <w:rPr>
              <w:rFonts w:ascii="Arial Narrow" w:hAnsi="Arial Narrow"/>
              <w:b/>
            </w:rPr>
            <w:t>FÍSICA</w:t>
          </w:r>
          <w:r w:rsidR="00C0506A">
            <w:rPr>
              <w:rFonts w:ascii="Arial Narrow" w:hAnsi="Arial Narrow"/>
              <w:b/>
            </w:rPr>
            <w:t xml:space="preserve">, </w:t>
          </w:r>
          <w:r w:rsidR="00652A21">
            <w:rPr>
              <w:rFonts w:ascii="Arial Narrow" w:hAnsi="Arial Narrow"/>
              <w:b/>
            </w:rPr>
            <w:t>TECNOLOGÍA Y SOCIEDAD</w:t>
          </w:r>
        </w:p>
        <w:p w:rsidR="001D4B49" w:rsidRPr="00552895" w:rsidRDefault="001D4B49" w:rsidP="00C0506A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RED DE CONTENIDOS 2020</w:t>
          </w:r>
        </w:p>
      </w:tc>
      <w:tc>
        <w:tcPr>
          <w:tcW w:w="2530" w:type="dxa"/>
          <w:vAlign w:val="center"/>
        </w:tcPr>
        <w:p w:rsidR="001D4B49" w:rsidRPr="00897A84" w:rsidRDefault="001D4B49" w:rsidP="001D4B49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 I Semestre</w:t>
          </w:r>
        </w:p>
      </w:tc>
    </w:tr>
    <w:tr w:rsidR="001D4B49" w:rsidRPr="00F90208" w:rsidTr="0047607E">
      <w:trPr>
        <w:cantSplit/>
        <w:trHeight w:val="345"/>
      </w:trPr>
      <w:tc>
        <w:tcPr>
          <w:tcW w:w="2622" w:type="dxa"/>
          <w:vMerge/>
        </w:tcPr>
        <w:p w:rsidR="001D4B49" w:rsidRDefault="001D4B49" w:rsidP="001D4B49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Default="001D4B49" w:rsidP="001D4B49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1D4B49" w:rsidRPr="000944D3" w:rsidRDefault="00652A21" w:rsidP="00652A21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  <w:lang w:val="es-CL"/>
            </w:rPr>
          </w:pP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>3</w:t>
          </w:r>
          <w:r w:rsidR="001D4B49" w:rsidRPr="000944D3">
            <w:rPr>
              <w:rFonts w:ascii="Arial Narrow" w:hAnsi="Arial Narrow"/>
              <w:b/>
              <w:snapToGrid w:val="0"/>
              <w:sz w:val="20"/>
              <w:lang w:val="es-CL"/>
            </w:rPr>
            <w:t xml:space="preserve">º Medio </w:t>
          </w:r>
          <w:r w:rsidR="001D4B49">
            <w:rPr>
              <w:rFonts w:ascii="Arial Narrow" w:hAnsi="Arial Narrow"/>
              <w:b/>
              <w:snapToGrid w:val="0"/>
              <w:sz w:val="20"/>
              <w:lang w:val="es-CL"/>
            </w:rPr>
            <w:t>Plan</w:t>
          </w: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 xml:space="preserve"> Común de Formación General</w:t>
          </w:r>
          <w:r w:rsidR="001D4B49">
            <w:rPr>
              <w:rFonts w:ascii="Arial Narrow" w:hAnsi="Arial Narrow"/>
              <w:b/>
              <w:snapToGrid w:val="0"/>
              <w:sz w:val="20"/>
              <w:lang w:val="es-CL"/>
            </w:rPr>
            <w:t xml:space="preserve"> </w:t>
          </w:r>
        </w:p>
      </w:tc>
    </w:tr>
    <w:tr w:rsidR="001D4B49" w:rsidTr="0047607E">
      <w:trPr>
        <w:cantSplit/>
        <w:trHeight w:val="354"/>
      </w:trPr>
      <w:tc>
        <w:tcPr>
          <w:tcW w:w="2622" w:type="dxa"/>
          <w:vMerge/>
        </w:tcPr>
        <w:p w:rsidR="001D4B49" w:rsidRPr="000944D3" w:rsidRDefault="001D4B49" w:rsidP="001D4B49">
          <w:pPr>
            <w:pStyle w:val="Encabezado"/>
            <w:rPr>
              <w:rFonts w:ascii="Eras Medium ITC" w:hAnsi="Eras Medium ITC"/>
              <w:noProof/>
              <w:lang w:val="es-CL"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Pr="000944D3" w:rsidRDefault="001D4B49" w:rsidP="001D4B49">
          <w:pPr>
            <w:pStyle w:val="Encabezado"/>
            <w:rPr>
              <w:rFonts w:ascii="Arial" w:hAnsi="Arial"/>
              <w:b/>
              <w:sz w:val="20"/>
              <w:lang w:val="es-CL"/>
            </w:rPr>
          </w:pPr>
        </w:p>
      </w:tc>
      <w:tc>
        <w:tcPr>
          <w:tcW w:w="2530" w:type="dxa"/>
          <w:vAlign w:val="center"/>
        </w:tcPr>
        <w:p w:rsidR="001D4B49" w:rsidRPr="00B33E94" w:rsidRDefault="001D4B49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r>
            <w:rPr>
              <w:rFonts w:ascii="Arial Narrow" w:hAnsi="Arial Narrow"/>
              <w:b/>
              <w:snapToGrid w:val="0"/>
              <w:sz w:val="20"/>
            </w:rPr>
            <w:t>Coordinador</w:t>
          </w:r>
          <w:r w:rsidR="00652A21">
            <w:rPr>
              <w:rFonts w:ascii="Arial Narrow" w:hAnsi="Arial Narrow"/>
              <w:b/>
              <w:snapToGrid w:val="0"/>
              <w:sz w:val="20"/>
            </w:rPr>
            <w:t>: Paul Cáceres</w:t>
          </w:r>
        </w:p>
      </w:tc>
    </w:tr>
  </w:tbl>
  <w:p w:rsidR="001D4B49" w:rsidRDefault="001D4B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777E"/>
    <w:multiLevelType w:val="hybridMultilevel"/>
    <w:tmpl w:val="ED903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21FB1"/>
    <w:multiLevelType w:val="hybridMultilevel"/>
    <w:tmpl w:val="0A36FEE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DA4F77"/>
    <w:multiLevelType w:val="hybridMultilevel"/>
    <w:tmpl w:val="866695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49"/>
    <w:rsid w:val="001D4B49"/>
    <w:rsid w:val="00254A51"/>
    <w:rsid w:val="002D2972"/>
    <w:rsid w:val="004C4B1C"/>
    <w:rsid w:val="00652A21"/>
    <w:rsid w:val="006C30AC"/>
    <w:rsid w:val="00B83332"/>
    <w:rsid w:val="00C0506A"/>
    <w:rsid w:val="00EB2E8A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08AF"/>
  <w15:chartTrackingRefBased/>
  <w15:docId w15:val="{42A11C80-A629-7C44-AC39-2FD5FE1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9"/>
    <w:rPr>
      <w:lang w:val="es-ES"/>
    </w:rPr>
  </w:style>
  <w:style w:type="table" w:styleId="Tablaconcuadrcula">
    <w:name w:val="Table Grid"/>
    <w:basedOn w:val="Tablanormal"/>
    <w:uiPriority w:val="39"/>
    <w:unhideWhenUsed/>
    <w:rsid w:val="001D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2A21"/>
    <w:pPr>
      <w:spacing w:after="160" w:line="259" w:lineRule="auto"/>
      <w:ind w:left="720"/>
      <w:contextualSpacing/>
    </w:pPr>
    <w:rPr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Obermoller</dc:creator>
  <cp:keywords/>
  <dc:description/>
  <cp:lastModifiedBy>paul caceres</cp:lastModifiedBy>
  <cp:revision>2</cp:revision>
  <dcterms:created xsi:type="dcterms:W3CDTF">2020-03-26T01:05:00Z</dcterms:created>
  <dcterms:modified xsi:type="dcterms:W3CDTF">2020-03-26T01:05:00Z</dcterms:modified>
</cp:coreProperties>
</file>